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C7" w:rsidRDefault="00AE61C7" w:rsidP="00AE61C7">
      <w:pPr>
        <w:pStyle w:val="Header"/>
        <w:tabs>
          <w:tab w:val="clear" w:pos="4153"/>
          <w:tab w:val="clear" w:pos="8306"/>
          <w:tab w:val="left" w:pos="7320"/>
        </w:tabs>
        <w:jc w:val="right"/>
        <w:rPr>
          <w:sz w:val="19"/>
          <w:szCs w:val="19"/>
        </w:rPr>
      </w:pPr>
      <w:r>
        <w:t xml:space="preserve">                                                                                         </w:t>
      </w:r>
      <w:r w:rsidR="00660BD9">
        <w:rPr>
          <w:noProof/>
          <w:sz w:val="19"/>
          <w:szCs w:val="19"/>
          <w:lang w:eastAsia="en-GB"/>
        </w:rPr>
        <w:drawing>
          <wp:inline distT="0" distB="0" distL="0" distR="0" wp14:anchorId="6B417AB5" wp14:editId="4A0D5063">
            <wp:extent cx="2146300" cy="546100"/>
            <wp:effectExtent l="25400" t="0" r="0" b="0"/>
            <wp:docPr id="6" name="Picture 6" descr="HMCPSI_blu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CPSI_blue_logo"/>
                    <pic:cNvPicPr>
                      <a:picLocks noChangeAspect="1" noChangeArrowheads="1"/>
                    </pic:cNvPicPr>
                  </pic:nvPicPr>
                  <pic:blipFill>
                    <a:blip r:embed="rId9"/>
                    <a:srcRect/>
                    <a:stretch>
                      <a:fillRect/>
                    </a:stretch>
                  </pic:blipFill>
                  <pic:spPr bwMode="auto">
                    <a:xfrm>
                      <a:off x="0" y="0"/>
                      <a:ext cx="2146300" cy="546100"/>
                    </a:xfrm>
                    <a:prstGeom prst="rect">
                      <a:avLst/>
                    </a:prstGeom>
                    <a:noFill/>
                    <a:ln w="9525">
                      <a:noFill/>
                      <a:miter lim="800000"/>
                      <a:headEnd/>
                      <a:tailEnd/>
                    </a:ln>
                  </pic:spPr>
                </pic:pic>
              </a:graphicData>
            </a:graphic>
          </wp:inline>
        </w:drawing>
      </w:r>
    </w:p>
    <w:p w:rsidR="002A313B" w:rsidRDefault="00291F6A" w:rsidP="00291F6A">
      <w:pPr>
        <w:pStyle w:val="Header"/>
        <w:tabs>
          <w:tab w:val="clear" w:pos="4153"/>
          <w:tab w:val="clear" w:pos="8306"/>
          <w:tab w:val="left" w:pos="450"/>
          <w:tab w:val="left" w:pos="7320"/>
        </w:tabs>
        <w:rPr>
          <w:rFonts w:ascii="Calibri" w:hAnsi="Calibri"/>
          <w:sz w:val="22"/>
          <w:szCs w:val="22"/>
        </w:rPr>
      </w:pPr>
      <w:r>
        <w:rPr>
          <w:rFonts w:ascii="Calibri" w:hAnsi="Calibri"/>
          <w:sz w:val="22"/>
          <w:szCs w:val="22"/>
        </w:rPr>
        <w:tab/>
      </w:r>
      <w:r>
        <w:rPr>
          <w:rFonts w:ascii="Calibri" w:hAnsi="Calibri"/>
          <w:sz w:val="22"/>
          <w:szCs w:val="22"/>
        </w:rPr>
        <w:tab/>
      </w:r>
    </w:p>
    <w:p w:rsidR="00AE61C7" w:rsidRPr="002A313B" w:rsidRDefault="00481C7C" w:rsidP="00AE61C7">
      <w:pPr>
        <w:pStyle w:val="Header"/>
        <w:tabs>
          <w:tab w:val="clear" w:pos="4153"/>
          <w:tab w:val="clear" w:pos="8306"/>
          <w:tab w:val="left" w:pos="7320"/>
        </w:tabs>
        <w:jc w:val="right"/>
        <w:rPr>
          <w:rFonts w:ascii="Calibri" w:hAnsi="Calibri"/>
          <w:sz w:val="20"/>
          <w:szCs w:val="20"/>
        </w:rPr>
      </w:pPr>
      <w:r w:rsidRPr="002A313B">
        <w:rPr>
          <w:rFonts w:ascii="Calibri" w:hAnsi="Calibri"/>
          <w:sz w:val="20"/>
          <w:szCs w:val="20"/>
        </w:rPr>
        <w:t>One Kemble Street</w:t>
      </w:r>
    </w:p>
    <w:p w:rsidR="00AE61C7" w:rsidRPr="002A313B" w:rsidRDefault="00291F6A" w:rsidP="00291F6A">
      <w:pPr>
        <w:pStyle w:val="Header"/>
        <w:tabs>
          <w:tab w:val="clear" w:pos="4153"/>
          <w:tab w:val="left" w:pos="7320"/>
        </w:tabs>
        <w:rPr>
          <w:rFonts w:ascii="Calibri" w:hAnsi="Calibri"/>
          <w:sz w:val="20"/>
          <w:szCs w:val="20"/>
        </w:rPr>
      </w:pPr>
      <w:r>
        <w:rPr>
          <w:rFonts w:ascii="Calibri" w:hAnsi="Calibri"/>
          <w:sz w:val="20"/>
          <w:szCs w:val="20"/>
        </w:rPr>
        <w:tab/>
      </w:r>
      <w:r>
        <w:rPr>
          <w:rFonts w:ascii="Calibri" w:hAnsi="Calibri"/>
          <w:sz w:val="20"/>
          <w:szCs w:val="20"/>
        </w:rPr>
        <w:tab/>
      </w:r>
      <w:r w:rsidR="00AE61C7" w:rsidRPr="002A313B">
        <w:rPr>
          <w:rFonts w:ascii="Calibri" w:hAnsi="Calibri"/>
          <w:sz w:val="20"/>
          <w:szCs w:val="20"/>
        </w:rPr>
        <w:t>London</w:t>
      </w:r>
    </w:p>
    <w:p w:rsidR="00AE61C7" w:rsidRPr="002A313B" w:rsidRDefault="00B87A28" w:rsidP="002A313B">
      <w:pPr>
        <w:pStyle w:val="Header"/>
        <w:tabs>
          <w:tab w:val="clear" w:pos="4153"/>
          <w:tab w:val="clear" w:pos="8306"/>
          <w:tab w:val="left" w:pos="7320"/>
        </w:tabs>
        <w:jc w:val="right"/>
        <w:rPr>
          <w:rFonts w:ascii="Calibri" w:hAnsi="Calibri"/>
          <w:sz w:val="20"/>
          <w:szCs w:val="20"/>
        </w:rPr>
      </w:pPr>
      <w:r w:rsidRPr="002A313B">
        <w:rPr>
          <w:rFonts w:ascii="Calibri" w:hAnsi="Calibri"/>
          <w:sz w:val="20"/>
          <w:szCs w:val="20"/>
        </w:rPr>
        <w:tab/>
      </w:r>
      <w:r w:rsidR="00481C7C" w:rsidRPr="002A313B">
        <w:rPr>
          <w:rFonts w:ascii="Calibri" w:hAnsi="Calibri"/>
          <w:sz w:val="20"/>
          <w:szCs w:val="20"/>
        </w:rPr>
        <w:t>WC2B 4TS</w:t>
      </w:r>
    </w:p>
    <w:p w:rsidR="002A313B" w:rsidRPr="002A313B" w:rsidRDefault="00DE525B" w:rsidP="002A313B">
      <w:pPr>
        <w:tabs>
          <w:tab w:val="left" w:pos="1560"/>
        </w:tabs>
        <w:jc w:val="right"/>
        <w:rPr>
          <w:rFonts w:ascii="Calibri" w:hAnsi="Calibri"/>
          <w:sz w:val="20"/>
          <w:szCs w:val="20"/>
        </w:rPr>
      </w:pPr>
      <w:r>
        <w:rPr>
          <w:rFonts w:ascii="Calibri" w:hAnsi="Calibri"/>
          <w:sz w:val="20"/>
          <w:szCs w:val="20"/>
        </w:rPr>
        <w:t>T: 020 7210 11</w:t>
      </w:r>
      <w:r w:rsidR="00A530F0">
        <w:rPr>
          <w:rFonts w:ascii="Calibri" w:hAnsi="Calibri"/>
          <w:sz w:val="20"/>
          <w:szCs w:val="20"/>
        </w:rPr>
        <w:t>8</w:t>
      </w:r>
      <w:r>
        <w:rPr>
          <w:rFonts w:ascii="Calibri" w:hAnsi="Calibri"/>
          <w:sz w:val="20"/>
          <w:szCs w:val="20"/>
        </w:rPr>
        <w:t>9</w:t>
      </w:r>
    </w:p>
    <w:p w:rsidR="002A313B" w:rsidRPr="002A313B" w:rsidRDefault="002A313B" w:rsidP="002A313B">
      <w:pPr>
        <w:tabs>
          <w:tab w:val="left" w:pos="1560"/>
        </w:tabs>
        <w:jc w:val="right"/>
        <w:rPr>
          <w:rFonts w:ascii="Calibri" w:hAnsi="Calibri"/>
          <w:sz w:val="20"/>
          <w:szCs w:val="20"/>
        </w:rPr>
      </w:pPr>
      <w:r w:rsidRPr="002A313B">
        <w:rPr>
          <w:rFonts w:ascii="Calibri" w:hAnsi="Calibri"/>
          <w:sz w:val="20"/>
          <w:szCs w:val="20"/>
        </w:rPr>
        <w:t>F: 020 7210 1186</w:t>
      </w:r>
    </w:p>
    <w:p w:rsidR="00C208CB" w:rsidRDefault="00CE058C" w:rsidP="00FD2FA3">
      <w:pPr>
        <w:tabs>
          <w:tab w:val="left" w:pos="1560"/>
        </w:tabs>
        <w:jc w:val="right"/>
        <w:rPr>
          <w:rFonts w:ascii="Calibri" w:hAnsi="Calibri"/>
          <w:sz w:val="20"/>
          <w:szCs w:val="20"/>
        </w:rPr>
      </w:pPr>
      <w:hyperlink r:id="rId10" w:history="1">
        <w:r w:rsidR="00FD2FA3" w:rsidRPr="00030394">
          <w:rPr>
            <w:rStyle w:val="Hyperlink"/>
            <w:rFonts w:ascii="Calibri" w:hAnsi="Calibri"/>
            <w:sz w:val="20"/>
            <w:szCs w:val="20"/>
          </w:rPr>
          <w:t>http://www.justiceinspectorates.gov.uk/hmcpsi/</w:t>
        </w:r>
      </w:hyperlink>
    </w:p>
    <w:p w:rsidR="00FD2FA3" w:rsidRDefault="00FD2FA3" w:rsidP="00FD2FA3">
      <w:pPr>
        <w:tabs>
          <w:tab w:val="left" w:pos="1560"/>
        </w:tabs>
        <w:jc w:val="right"/>
        <w:rPr>
          <w:rFonts w:ascii="Calibri" w:hAnsi="Calibri" w:cs="Times New Roman"/>
          <w:sz w:val="22"/>
          <w:szCs w:val="22"/>
          <w:lang w:eastAsia="en-US"/>
        </w:rPr>
      </w:pPr>
    </w:p>
    <w:p w:rsidR="00572047" w:rsidRDefault="00572047" w:rsidP="00FD2FA3">
      <w:pPr>
        <w:tabs>
          <w:tab w:val="left" w:pos="1560"/>
        </w:tabs>
        <w:jc w:val="right"/>
        <w:rPr>
          <w:rFonts w:ascii="Calibri" w:hAnsi="Calibri" w:cs="Times New Roman"/>
          <w:sz w:val="22"/>
          <w:szCs w:val="22"/>
          <w:lang w:eastAsia="en-US"/>
        </w:rPr>
      </w:pPr>
    </w:p>
    <w:p w:rsidR="00572047" w:rsidRDefault="00A57525" w:rsidP="00FD2FA3">
      <w:pPr>
        <w:tabs>
          <w:tab w:val="left" w:pos="1560"/>
        </w:tabs>
        <w:jc w:val="right"/>
        <w:rPr>
          <w:rFonts w:ascii="Calibri" w:hAnsi="Calibri" w:cs="Times New Roman"/>
          <w:sz w:val="22"/>
          <w:szCs w:val="22"/>
          <w:lang w:eastAsia="en-US"/>
        </w:rPr>
      </w:pPr>
      <w:r>
        <w:rPr>
          <w:rFonts w:ascii="Calibri" w:hAnsi="Calibri" w:cs="Times New Roman"/>
          <w:sz w:val="22"/>
          <w:szCs w:val="22"/>
          <w:lang w:eastAsia="en-US"/>
        </w:rPr>
        <w:t>5 June</w:t>
      </w:r>
      <w:r w:rsidR="00572047">
        <w:rPr>
          <w:rFonts w:ascii="Calibri" w:hAnsi="Calibri" w:cs="Times New Roman"/>
          <w:sz w:val="22"/>
          <w:szCs w:val="22"/>
          <w:lang w:eastAsia="en-US"/>
        </w:rPr>
        <w:t xml:space="preserve"> 2018</w:t>
      </w:r>
    </w:p>
    <w:p w:rsidR="00572047" w:rsidRDefault="00572047" w:rsidP="00FD2FA3">
      <w:pPr>
        <w:tabs>
          <w:tab w:val="left" w:pos="1560"/>
        </w:tabs>
        <w:jc w:val="right"/>
        <w:rPr>
          <w:rFonts w:ascii="Calibri" w:hAnsi="Calibri" w:cs="Times New Roman"/>
          <w:sz w:val="22"/>
          <w:szCs w:val="22"/>
          <w:lang w:eastAsia="en-US"/>
        </w:rPr>
      </w:pPr>
    </w:p>
    <w:p w:rsidR="00B00016" w:rsidRDefault="00B00016" w:rsidP="00986B4D">
      <w:pPr>
        <w:rPr>
          <w:rFonts w:ascii="Calibri" w:hAnsi="Calibri" w:cs="Times New Roman"/>
          <w:sz w:val="22"/>
          <w:szCs w:val="22"/>
          <w:lang w:eastAsia="en-US"/>
        </w:rPr>
      </w:pPr>
    </w:p>
    <w:p w:rsidR="009C188B" w:rsidRDefault="009C188B" w:rsidP="00986B4D">
      <w:pPr>
        <w:rPr>
          <w:rFonts w:ascii="Calibri" w:hAnsi="Calibri" w:cs="Times New Roman"/>
          <w:sz w:val="22"/>
          <w:szCs w:val="22"/>
          <w:lang w:eastAsia="en-US"/>
        </w:rPr>
      </w:pPr>
    </w:p>
    <w:p w:rsidR="00572047" w:rsidRDefault="00572047" w:rsidP="00986B4D">
      <w:pPr>
        <w:rPr>
          <w:rFonts w:ascii="Calibri" w:hAnsi="Calibri" w:cs="Times New Roman"/>
          <w:sz w:val="22"/>
          <w:szCs w:val="22"/>
          <w:lang w:eastAsia="en-US"/>
        </w:rPr>
      </w:pPr>
    </w:p>
    <w:p w:rsidR="00291F6A" w:rsidRDefault="00291F6A">
      <w:pPr>
        <w:rPr>
          <w:rFonts w:ascii="Calibri" w:hAnsi="Calibri" w:cs="Times New Roman"/>
          <w:sz w:val="22"/>
          <w:szCs w:val="22"/>
          <w:lang w:eastAsia="en-US"/>
        </w:rPr>
      </w:pPr>
    </w:p>
    <w:p w:rsidR="00291F6A" w:rsidRPr="00572047" w:rsidRDefault="00291F6A" w:rsidP="00291F6A">
      <w:pPr>
        <w:rPr>
          <w:rFonts w:asciiTheme="majorHAnsi" w:hAnsiTheme="majorHAnsi"/>
          <w:sz w:val="22"/>
          <w:szCs w:val="22"/>
        </w:rPr>
      </w:pPr>
    </w:p>
    <w:p w:rsidR="00DE7098" w:rsidRPr="00572047" w:rsidRDefault="00DE7098" w:rsidP="00DE7098">
      <w:pPr>
        <w:pStyle w:val="ListParagraph"/>
        <w:numPr>
          <w:ilvl w:val="0"/>
          <w:numId w:val="1"/>
        </w:numPr>
        <w:rPr>
          <w:rFonts w:asciiTheme="majorHAnsi" w:hAnsiTheme="majorHAnsi"/>
        </w:rPr>
      </w:pPr>
      <w:r w:rsidRPr="00572047">
        <w:rPr>
          <w:rFonts w:asciiTheme="majorHAnsi" w:hAnsiTheme="majorHAnsi"/>
        </w:rPr>
        <w:t xml:space="preserve">Thank you for your freedom of information </w:t>
      </w:r>
      <w:r w:rsidR="00F65A8D">
        <w:rPr>
          <w:rFonts w:asciiTheme="majorHAnsi" w:hAnsiTheme="majorHAnsi"/>
        </w:rPr>
        <w:t xml:space="preserve">(FOI) </w:t>
      </w:r>
      <w:r w:rsidRPr="00572047">
        <w:rPr>
          <w:rFonts w:asciiTheme="majorHAnsi" w:hAnsiTheme="majorHAnsi"/>
        </w:rPr>
        <w:t xml:space="preserve">request received </w:t>
      </w:r>
      <w:r w:rsidR="00A57525">
        <w:rPr>
          <w:rFonts w:asciiTheme="majorHAnsi" w:hAnsiTheme="majorHAnsi"/>
        </w:rPr>
        <w:t xml:space="preserve">by email </w:t>
      </w:r>
      <w:r w:rsidRPr="00572047">
        <w:rPr>
          <w:rFonts w:asciiTheme="majorHAnsi" w:hAnsiTheme="majorHAnsi"/>
        </w:rPr>
        <w:t xml:space="preserve">on </w:t>
      </w:r>
      <w:r w:rsidR="00A57525">
        <w:rPr>
          <w:rFonts w:asciiTheme="majorHAnsi" w:hAnsiTheme="majorHAnsi"/>
        </w:rPr>
        <w:t xml:space="preserve">8 May 2018.  </w:t>
      </w:r>
      <w:r w:rsidRPr="00572047">
        <w:rPr>
          <w:rFonts w:asciiTheme="majorHAnsi" w:hAnsiTheme="majorHAnsi"/>
        </w:rPr>
        <w:t xml:space="preserve"> </w:t>
      </w:r>
    </w:p>
    <w:p w:rsidR="00DE7098" w:rsidRPr="00572047" w:rsidRDefault="00DE7098" w:rsidP="00DE7098">
      <w:pPr>
        <w:pStyle w:val="ListParagraph"/>
        <w:ind w:left="1070"/>
        <w:rPr>
          <w:rFonts w:asciiTheme="majorHAnsi" w:hAnsiTheme="majorHAnsi"/>
        </w:rPr>
      </w:pPr>
    </w:p>
    <w:p w:rsidR="00DE7098" w:rsidRPr="00572047" w:rsidRDefault="00DE7098" w:rsidP="00DE7098">
      <w:pPr>
        <w:pStyle w:val="ListParagraph"/>
        <w:numPr>
          <w:ilvl w:val="0"/>
          <w:numId w:val="1"/>
        </w:numPr>
        <w:rPr>
          <w:rFonts w:asciiTheme="majorHAnsi" w:hAnsiTheme="majorHAnsi"/>
        </w:rPr>
      </w:pPr>
      <w:r w:rsidRPr="00572047">
        <w:rPr>
          <w:rFonts w:asciiTheme="majorHAnsi" w:hAnsiTheme="majorHAnsi"/>
        </w:rPr>
        <w:t xml:space="preserve">In your request received </w:t>
      </w:r>
      <w:r w:rsidR="00A57525">
        <w:rPr>
          <w:rFonts w:asciiTheme="majorHAnsi" w:hAnsiTheme="majorHAnsi"/>
        </w:rPr>
        <w:t>8 May 2018</w:t>
      </w:r>
      <w:r w:rsidRPr="00572047">
        <w:rPr>
          <w:rFonts w:asciiTheme="majorHAnsi" w:hAnsiTheme="majorHAnsi"/>
        </w:rPr>
        <w:t xml:space="preserve"> you asked for </w:t>
      </w:r>
      <w:r w:rsidR="00A57525">
        <w:rPr>
          <w:rFonts w:asciiTheme="majorHAnsi" w:hAnsiTheme="majorHAnsi"/>
        </w:rPr>
        <w:t xml:space="preserve">an </w:t>
      </w:r>
      <w:proofErr w:type="spellStart"/>
      <w:r w:rsidR="00A57525">
        <w:rPr>
          <w:rFonts w:asciiTheme="majorHAnsi" w:hAnsiTheme="majorHAnsi"/>
        </w:rPr>
        <w:t>unredacted</w:t>
      </w:r>
      <w:proofErr w:type="spellEnd"/>
      <w:r w:rsidR="00A57525">
        <w:rPr>
          <w:rFonts w:asciiTheme="majorHAnsi" w:hAnsiTheme="majorHAnsi"/>
        </w:rPr>
        <w:t xml:space="preserve"> copy of the document referred to in the articl</w:t>
      </w:r>
      <w:r w:rsidR="00C92155">
        <w:rPr>
          <w:rFonts w:asciiTheme="majorHAnsi" w:hAnsiTheme="majorHAnsi"/>
        </w:rPr>
        <w:t>e published in The Times on 3 April 2018</w:t>
      </w:r>
      <w:r w:rsidR="00D85388">
        <w:rPr>
          <w:rFonts w:asciiTheme="majorHAnsi" w:hAnsiTheme="majorHAnsi"/>
        </w:rPr>
        <w:t>.</w:t>
      </w:r>
    </w:p>
    <w:p w:rsidR="00DE7098" w:rsidRPr="00572047" w:rsidRDefault="00DE7098" w:rsidP="00DE7098">
      <w:pPr>
        <w:pStyle w:val="ListParagraph"/>
        <w:ind w:left="1070"/>
        <w:rPr>
          <w:rFonts w:asciiTheme="majorHAnsi" w:hAnsiTheme="majorHAnsi"/>
        </w:rPr>
      </w:pPr>
    </w:p>
    <w:p w:rsidR="00DE7098" w:rsidRPr="00572047" w:rsidRDefault="00FA22AC" w:rsidP="00DE7098">
      <w:pPr>
        <w:pStyle w:val="ListParagraph"/>
        <w:numPr>
          <w:ilvl w:val="0"/>
          <w:numId w:val="1"/>
        </w:numPr>
        <w:rPr>
          <w:rFonts w:asciiTheme="majorHAnsi" w:hAnsiTheme="majorHAnsi"/>
        </w:rPr>
      </w:pPr>
      <w:r>
        <w:rPr>
          <w:rFonts w:asciiTheme="majorHAnsi" w:hAnsiTheme="majorHAnsi"/>
        </w:rPr>
        <w:t xml:space="preserve">I am assuming you mean an </w:t>
      </w:r>
      <w:proofErr w:type="spellStart"/>
      <w:r>
        <w:rPr>
          <w:rFonts w:asciiTheme="majorHAnsi" w:hAnsiTheme="majorHAnsi"/>
        </w:rPr>
        <w:t>unredacted</w:t>
      </w:r>
      <w:proofErr w:type="spellEnd"/>
      <w:r>
        <w:rPr>
          <w:rFonts w:asciiTheme="majorHAnsi" w:hAnsiTheme="majorHAnsi"/>
        </w:rPr>
        <w:t xml:space="preserve"> copy of the information provided to the Centre for Criminal Appeals, in response to their FOI request regarding our report on the disclosure of unused evidence.</w:t>
      </w:r>
    </w:p>
    <w:p w:rsidR="00DE7098" w:rsidRPr="00572047" w:rsidRDefault="00DE7098" w:rsidP="00DE7098">
      <w:pPr>
        <w:pStyle w:val="ListParagraph"/>
        <w:ind w:left="1070"/>
        <w:rPr>
          <w:rFonts w:asciiTheme="majorHAnsi" w:hAnsiTheme="majorHAnsi"/>
        </w:rPr>
      </w:pPr>
    </w:p>
    <w:p w:rsidR="00D85388" w:rsidRDefault="00FA22AC" w:rsidP="00D85388">
      <w:pPr>
        <w:pStyle w:val="ListParagraph"/>
        <w:numPr>
          <w:ilvl w:val="0"/>
          <w:numId w:val="1"/>
        </w:numPr>
        <w:rPr>
          <w:rFonts w:asciiTheme="majorHAnsi" w:hAnsiTheme="majorHAnsi"/>
        </w:rPr>
      </w:pPr>
      <w:r>
        <w:rPr>
          <w:rFonts w:asciiTheme="majorHAnsi" w:hAnsiTheme="majorHAnsi"/>
        </w:rPr>
        <w:t>I can confirm that we hold information that is in scope.</w:t>
      </w:r>
    </w:p>
    <w:p w:rsidR="00FA22AC" w:rsidRPr="00FA22AC" w:rsidRDefault="00FA22AC" w:rsidP="00FA22AC">
      <w:pPr>
        <w:pStyle w:val="ListParagraph"/>
        <w:rPr>
          <w:rFonts w:asciiTheme="majorHAnsi" w:hAnsiTheme="majorHAnsi"/>
        </w:rPr>
      </w:pPr>
    </w:p>
    <w:p w:rsidR="00FA22AC" w:rsidRDefault="00073255" w:rsidP="00D85388">
      <w:pPr>
        <w:pStyle w:val="ListParagraph"/>
        <w:numPr>
          <w:ilvl w:val="0"/>
          <w:numId w:val="1"/>
        </w:numPr>
        <w:rPr>
          <w:rFonts w:asciiTheme="majorHAnsi" w:hAnsiTheme="majorHAnsi"/>
        </w:rPr>
      </w:pPr>
      <w:r>
        <w:rPr>
          <w:rFonts w:asciiTheme="majorHAnsi" w:hAnsiTheme="majorHAnsi"/>
        </w:rPr>
        <w:t xml:space="preserve">We are withholding this information under </w:t>
      </w:r>
      <w:r w:rsidR="00F23AD3">
        <w:rPr>
          <w:rFonts w:asciiTheme="majorHAnsi" w:hAnsiTheme="majorHAnsi"/>
        </w:rPr>
        <w:t>Section 22 of the Freedom of Information Act.</w:t>
      </w:r>
    </w:p>
    <w:p w:rsidR="00F23AD3" w:rsidRPr="00F23AD3" w:rsidRDefault="00F23AD3" w:rsidP="00F23AD3">
      <w:pPr>
        <w:pStyle w:val="ListParagraph"/>
        <w:rPr>
          <w:rFonts w:asciiTheme="majorHAnsi" w:hAnsiTheme="majorHAnsi"/>
        </w:rPr>
      </w:pPr>
    </w:p>
    <w:p w:rsidR="00F23AD3" w:rsidRDefault="00F23AD3" w:rsidP="00D85388">
      <w:pPr>
        <w:pStyle w:val="ListParagraph"/>
        <w:numPr>
          <w:ilvl w:val="0"/>
          <w:numId w:val="1"/>
        </w:numPr>
        <w:rPr>
          <w:rFonts w:asciiTheme="majorHAnsi" w:hAnsiTheme="majorHAnsi"/>
        </w:rPr>
      </w:pPr>
      <w:r>
        <w:rPr>
          <w:rFonts w:asciiTheme="majorHAnsi" w:hAnsiTheme="majorHAnsi"/>
        </w:rPr>
        <w:t xml:space="preserve">Section 22 applies when the material requested is definitely intended for publication.  </w:t>
      </w:r>
    </w:p>
    <w:p w:rsidR="00A17BAC" w:rsidRPr="00A17BAC" w:rsidRDefault="00A17BAC" w:rsidP="00A17BAC">
      <w:pPr>
        <w:pStyle w:val="ListParagraph"/>
        <w:rPr>
          <w:rFonts w:asciiTheme="majorHAnsi" w:hAnsiTheme="majorHAnsi"/>
        </w:rPr>
      </w:pPr>
    </w:p>
    <w:p w:rsidR="00A17BAC" w:rsidRDefault="00A17BAC" w:rsidP="00D85388">
      <w:pPr>
        <w:pStyle w:val="ListParagraph"/>
        <w:numPr>
          <w:ilvl w:val="0"/>
          <w:numId w:val="1"/>
        </w:numPr>
        <w:rPr>
          <w:rFonts w:asciiTheme="majorHAnsi" w:hAnsiTheme="majorHAnsi"/>
        </w:rPr>
      </w:pPr>
      <w:r>
        <w:rPr>
          <w:rFonts w:asciiTheme="majorHAnsi" w:hAnsiTheme="majorHAnsi"/>
        </w:rPr>
        <w:t>Section 22 is a ‘qualified exemption’ and requires us to carry out a public interest test to consider whether the balance of interest lies in releasing or withholding the information.  In considering this, we have paid particular regard to the arguments in favour of disclosure, including that disclosure may be of benefit because</w:t>
      </w:r>
      <w:r w:rsidR="00C94E52">
        <w:rPr>
          <w:rFonts w:asciiTheme="majorHAnsi" w:hAnsiTheme="majorHAnsi"/>
        </w:rPr>
        <w:t xml:space="preserve"> it</w:t>
      </w:r>
      <w:r>
        <w:rPr>
          <w:rFonts w:asciiTheme="majorHAnsi" w:hAnsiTheme="majorHAnsi"/>
        </w:rPr>
        <w:t>:</w:t>
      </w:r>
    </w:p>
    <w:p w:rsidR="00A17BAC" w:rsidRPr="00A17BAC" w:rsidRDefault="00A17BAC" w:rsidP="00A17BAC">
      <w:pPr>
        <w:pStyle w:val="ListParagraph"/>
        <w:rPr>
          <w:rFonts w:asciiTheme="majorHAnsi" w:hAnsiTheme="majorHAnsi"/>
        </w:rPr>
      </w:pPr>
    </w:p>
    <w:p w:rsidR="00A17BAC" w:rsidRDefault="00A17BAC" w:rsidP="00A17BAC">
      <w:pPr>
        <w:pStyle w:val="ListParagraph"/>
        <w:numPr>
          <w:ilvl w:val="2"/>
          <w:numId w:val="1"/>
        </w:numPr>
        <w:rPr>
          <w:rFonts w:asciiTheme="majorHAnsi" w:hAnsiTheme="majorHAnsi"/>
        </w:rPr>
      </w:pPr>
      <w:r>
        <w:rPr>
          <w:rFonts w:asciiTheme="majorHAnsi" w:hAnsiTheme="majorHAnsi"/>
        </w:rPr>
        <w:t>further</w:t>
      </w:r>
      <w:r w:rsidR="00C94E52">
        <w:rPr>
          <w:rFonts w:asciiTheme="majorHAnsi" w:hAnsiTheme="majorHAnsi"/>
        </w:rPr>
        <w:t>s</w:t>
      </w:r>
      <w:r>
        <w:rPr>
          <w:rFonts w:asciiTheme="majorHAnsi" w:hAnsiTheme="majorHAnsi"/>
        </w:rPr>
        <w:t xml:space="preserve"> public understanding of the inspection process;</w:t>
      </w:r>
    </w:p>
    <w:p w:rsidR="00A17BAC" w:rsidRDefault="00A17BAC" w:rsidP="00A17BAC">
      <w:pPr>
        <w:pStyle w:val="ListParagraph"/>
        <w:numPr>
          <w:ilvl w:val="2"/>
          <w:numId w:val="1"/>
        </w:numPr>
        <w:rPr>
          <w:rFonts w:asciiTheme="majorHAnsi" w:hAnsiTheme="majorHAnsi"/>
        </w:rPr>
      </w:pPr>
      <w:proofErr w:type="gramStart"/>
      <w:r>
        <w:rPr>
          <w:rFonts w:asciiTheme="majorHAnsi" w:hAnsiTheme="majorHAnsi"/>
        </w:rPr>
        <w:t>promotes</w:t>
      </w:r>
      <w:proofErr w:type="gramEnd"/>
      <w:r>
        <w:rPr>
          <w:rFonts w:asciiTheme="majorHAnsi" w:hAnsiTheme="majorHAnsi"/>
        </w:rPr>
        <w:t xml:space="preserve"> accountability and transparency in relation to decision making.</w:t>
      </w:r>
    </w:p>
    <w:p w:rsidR="00A17BAC" w:rsidRDefault="00A17BAC" w:rsidP="00A17BAC">
      <w:pPr>
        <w:pStyle w:val="ListParagraph"/>
        <w:ind w:left="1450"/>
        <w:rPr>
          <w:rFonts w:asciiTheme="majorHAnsi" w:hAnsiTheme="majorHAnsi"/>
        </w:rPr>
      </w:pPr>
    </w:p>
    <w:p w:rsidR="00A17BAC" w:rsidRDefault="003C649C" w:rsidP="00505218">
      <w:pPr>
        <w:pStyle w:val="ListParagraph"/>
        <w:numPr>
          <w:ilvl w:val="0"/>
          <w:numId w:val="1"/>
        </w:numPr>
        <w:rPr>
          <w:rFonts w:asciiTheme="majorHAnsi" w:hAnsiTheme="majorHAnsi"/>
        </w:rPr>
      </w:pPr>
      <w:r>
        <w:rPr>
          <w:rFonts w:asciiTheme="majorHAnsi" w:hAnsiTheme="majorHAnsi"/>
        </w:rPr>
        <w:t>While</w:t>
      </w:r>
      <w:r w:rsidR="00A17BAC">
        <w:rPr>
          <w:rFonts w:asciiTheme="majorHAnsi" w:hAnsiTheme="majorHAnsi"/>
        </w:rPr>
        <w:t xml:space="preserve"> acknowledging these benefits we consider that on this occasion the arguments for upholding the exemption outweigh those in favour of disclosure as the information will be published </w:t>
      </w:r>
      <w:r w:rsidR="00447ADF">
        <w:rPr>
          <w:rFonts w:asciiTheme="majorHAnsi" w:hAnsiTheme="majorHAnsi"/>
        </w:rPr>
        <w:t>in due course</w:t>
      </w:r>
      <w:r w:rsidR="00505218">
        <w:rPr>
          <w:rFonts w:asciiTheme="majorHAnsi" w:hAnsiTheme="majorHAnsi"/>
        </w:rPr>
        <w:t xml:space="preserve"> on the HMCPSI website, </w:t>
      </w:r>
      <w:r w:rsidR="00447ADF">
        <w:rPr>
          <w:rFonts w:asciiTheme="majorHAnsi" w:hAnsiTheme="majorHAnsi"/>
        </w:rPr>
        <w:t>so there would be a disproportionate cost to the organisation with little benefit to the public interest.</w:t>
      </w:r>
    </w:p>
    <w:p w:rsidR="00505218" w:rsidRDefault="00505218" w:rsidP="00505218">
      <w:pPr>
        <w:pStyle w:val="ListParagraph"/>
        <w:ind w:left="360"/>
        <w:rPr>
          <w:rFonts w:asciiTheme="majorHAnsi" w:hAnsiTheme="majorHAnsi"/>
        </w:rPr>
      </w:pPr>
    </w:p>
    <w:p w:rsidR="00A17BAC" w:rsidRDefault="0074063D" w:rsidP="00505218">
      <w:pPr>
        <w:pStyle w:val="ListParagraph"/>
        <w:numPr>
          <w:ilvl w:val="0"/>
          <w:numId w:val="1"/>
        </w:numPr>
        <w:rPr>
          <w:rFonts w:asciiTheme="majorHAnsi" w:hAnsiTheme="majorHAnsi"/>
        </w:rPr>
      </w:pPr>
      <w:r>
        <w:rPr>
          <w:rFonts w:asciiTheme="majorHAnsi" w:hAnsiTheme="majorHAnsi"/>
        </w:rPr>
        <w:t xml:space="preserve">Although the information will be published, it is redacted as we consider it to be exempt from </w:t>
      </w:r>
      <w:r w:rsidR="00513C83">
        <w:rPr>
          <w:rFonts w:asciiTheme="majorHAnsi" w:hAnsiTheme="majorHAnsi"/>
        </w:rPr>
        <w:t xml:space="preserve">disclosure under sections 40(2), </w:t>
      </w:r>
      <w:r>
        <w:rPr>
          <w:rFonts w:asciiTheme="majorHAnsi" w:hAnsiTheme="majorHAnsi"/>
        </w:rPr>
        <w:t xml:space="preserve">33(2) </w:t>
      </w:r>
      <w:r w:rsidR="00513C83">
        <w:rPr>
          <w:rFonts w:asciiTheme="majorHAnsi" w:hAnsiTheme="majorHAnsi"/>
        </w:rPr>
        <w:t xml:space="preserve">and 31(c) </w:t>
      </w:r>
      <w:r>
        <w:rPr>
          <w:rFonts w:asciiTheme="majorHAnsi" w:hAnsiTheme="majorHAnsi"/>
        </w:rPr>
        <w:t>of the Freedom of Information Act.</w:t>
      </w:r>
    </w:p>
    <w:p w:rsidR="0074063D" w:rsidRDefault="0074063D" w:rsidP="0074063D">
      <w:pPr>
        <w:pStyle w:val="ListParagraph"/>
        <w:ind w:left="360"/>
        <w:rPr>
          <w:rFonts w:asciiTheme="majorHAnsi" w:hAnsiTheme="majorHAnsi"/>
        </w:rPr>
      </w:pPr>
    </w:p>
    <w:p w:rsidR="00513C83" w:rsidRPr="00513C83" w:rsidRDefault="0074063D" w:rsidP="00513C83">
      <w:pPr>
        <w:pStyle w:val="ListParagraph"/>
        <w:numPr>
          <w:ilvl w:val="0"/>
          <w:numId w:val="1"/>
        </w:numPr>
        <w:rPr>
          <w:rFonts w:asciiTheme="majorHAnsi" w:hAnsiTheme="majorHAnsi"/>
        </w:rPr>
      </w:pPr>
      <w:r>
        <w:rPr>
          <w:rFonts w:asciiTheme="majorHAnsi" w:hAnsiTheme="majorHAnsi"/>
        </w:rPr>
        <w:t>Section 40(2) applies to personal data when disclosure would breach any of the Data Protection Principles.  We consider that disclosure of names or any personal data that could identify individuals would be against the individuals’ legitimate expectations of how their information would be processed by the authority and therefore likely to breach the first principle.</w:t>
      </w:r>
    </w:p>
    <w:p w:rsidR="00A67848" w:rsidRPr="00A67848" w:rsidRDefault="00A67848" w:rsidP="00A67848">
      <w:pPr>
        <w:pStyle w:val="ListParagraph"/>
        <w:rPr>
          <w:rFonts w:asciiTheme="majorHAnsi" w:hAnsiTheme="majorHAnsi"/>
        </w:rPr>
      </w:pPr>
    </w:p>
    <w:p w:rsidR="00A67848" w:rsidRDefault="00A67848" w:rsidP="00A17BAC">
      <w:pPr>
        <w:pStyle w:val="ListParagraph"/>
        <w:numPr>
          <w:ilvl w:val="0"/>
          <w:numId w:val="1"/>
        </w:numPr>
        <w:rPr>
          <w:rFonts w:asciiTheme="majorHAnsi" w:hAnsiTheme="majorHAnsi"/>
        </w:rPr>
      </w:pPr>
      <w:r>
        <w:rPr>
          <w:rFonts w:asciiTheme="majorHAnsi" w:hAnsiTheme="majorHAnsi"/>
        </w:rPr>
        <w:t xml:space="preserve">Section 33(2) applies where disclosure would, or would be likely </w:t>
      </w:r>
      <w:proofErr w:type="gramStart"/>
      <w:r>
        <w:rPr>
          <w:rFonts w:asciiTheme="majorHAnsi" w:hAnsiTheme="majorHAnsi"/>
        </w:rPr>
        <w:t>to,</w:t>
      </w:r>
      <w:proofErr w:type="gramEnd"/>
      <w:r>
        <w:rPr>
          <w:rFonts w:asciiTheme="majorHAnsi" w:hAnsiTheme="majorHAnsi"/>
        </w:rPr>
        <w:t xml:space="preserve"> prejudice the exercise of any of the authority’s functions in relation to any of the matters referred to in subsection (1).  HM Crown Prosecution Service Inspectorate’s function falls within section 33(1).</w:t>
      </w:r>
    </w:p>
    <w:p w:rsidR="00A67848" w:rsidRPr="00A67848" w:rsidRDefault="00A67848" w:rsidP="00A67848">
      <w:pPr>
        <w:pStyle w:val="ListParagraph"/>
        <w:rPr>
          <w:rFonts w:asciiTheme="majorHAnsi" w:hAnsiTheme="majorHAnsi"/>
        </w:rPr>
      </w:pPr>
    </w:p>
    <w:p w:rsidR="00A67848" w:rsidRDefault="00A67848" w:rsidP="00A17BAC">
      <w:pPr>
        <w:pStyle w:val="ListParagraph"/>
        <w:numPr>
          <w:ilvl w:val="0"/>
          <w:numId w:val="1"/>
        </w:numPr>
        <w:rPr>
          <w:rFonts w:asciiTheme="majorHAnsi" w:hAnsiTheme="majorHAnsi"/>
        </w:rPr>
      </w:pPr>
      <w:r>
        <w:rPr>
          <w:rFonts w:asciiTheme="majorHAnsi" w:hAnsiTheme="majorHAnsi"/>
        </w:rPr>
        <w:t>Section 33 is a ‘qualified exemption’ and requires us to carry out a public interest test to consider whether the balance of interest lies in releasing or withholding the information.  In considering this, we have paid particular regard to the arguments in favour of disclosure, including that disclosure may be of benefit because</w:t>
      </w:r>
      <w:r w:rsidR="00C94E52">
        <w:rPr>
          <w:rFonts w:asciiTheme="majorHAnsi" w:hAnsiTheme="majorHAnsi"/>
        </w:rPr>
        <w:t xml:space="preserve"> it</w:t>
      </w:r>
      <w:r>
        <w:rPr>
          <w:rFonts w:asciiTheme="majorHAnsi" w:hAnsiTheme="majorHAnsi"/>
        </w:rPr>
        <w:t>:</w:t>
      </w:r>
    </w:p>
    <w:p w:rsidR="00A67848" w:rsidRPr="00A17BAC" w:rsidRDefault="00A67848" w:rsidP="00A67848">
      <w:pPr>
        <w:pStyle w:val="ListParagraph"/>
        <w:rPr>
          <w:rFonts w:asciiTheme="majorHAnsi" w:hAnsiTheme="majorHAnsi"/>
        </w:rPr>
      </w:pPr>
    </w:p>
    <w:p w:rsidR="00A67848" w:rsidRDefault="00A67848" w:rsidP="00A67848">
      <w:pPr>
        <w:pStyle w:val="ListParagraph"/>
        <w:numPr>
          <w:ilvl w:val="2"/>
          <w:numId w:val="1"/>
        </w:numPr>
        <w:rPr>
          <w:rFonts w:asciiTheme="majorHAnsi" w:hAnsiTheme="majorHAnsi"/>
        </w:rPr>
      </w:pPr>
      <w:r>
        <w:rPr>
          <w:rFonts w:asciiTheme="majorHAnsi" w:hAnsiTheme="majorHAnsi"/>
        </w:rPr>
        <w:t>further</w:t>
      </w:r>
      <w:r w:rsidR="00C94E52">
        <w:rPr>
          <w:rFonts w:asciiTheme="majorHAnsi" w:hAnsiTheme="majorHAnsi"/>
        </w:rPr>
        <w:t>s</w:t>
      </w:r>
      <w:r>
        <w:rPr>
          <w:rFonts w:asciiTheme="majorHAnsi" w:hAnsiTheme="majorHAnsi"/>
        </w:rPr>
        <w:t xml:space="preserve"> public understanding of the inspection process;</w:t>
      </w:r>
    </w:p>
    <w:p w:rsidR="00A67848" w:rsidRDefault="00A67848" w:rsidP="00A67848">
      <w:pPr>
        <w:pStyle w:val="ListParagraph"/>
        <w:numPr>
          <w:ilvl w:val="2"/>
          <w:numId w:val="1"/>
        </w:numPr>
        <w:rPr>
          <w:rFonts w:asciiTheme="majorHAnsi" w:hAnsiTheme="majorHAnsi"/>
        </w:rPr>
      </w:pPr>
      <w:proofErr w:type="gramStart"/>
      <w:r>
        <w:rPr>
          <w:rFonts w:asciiTheme="majorHAnsi" w:hAnsiTheme="majorHAnsi"/>
        </w:rPr>
        <w:t>promotes</w:t>
      </w:r>
      <w:proofErr w:type="gramEnd"/>
      <w:r>
        <w:rPr>
          <w:rFonts w:asciiTheme="majorHAnsi" w:hAnsiTheme="majorHAnsi"/>
        </w:rPr>
        <w:t xml:space="preserve"> accountability and transparency in relation to decision making.</w:t>
      </w:r>
    </w:p>
    <w:p w:rsidR="00A67848" w:rsidRDefault="00A67848" w:rsidP="00A67848">
      <w:pPr>
        <w:pStyle w:val="ListParagraph"/>
        <w:ind w:left="1450"/>
        <w:rPr>
          <w:rFonts w:asciiTheme="majorHAnsi" w:hAnsiTheme="majorHAnsi"/>
        </w:rPr>
      </w:pPr>
    </w:p>
    <w:p w:rsidR="0074063D" w:rsidRDefault="00C94E52" w:rsidP="00A17BAC">
      <w:pPr>
        <w:pStyle w:val="ListParagraph"/>
        <w:numPr>
          <w:ilvl w:val="0"/>
          <w:numId w:val="1"/>
        </w:numPr>
        <w:rPr>
          <w:rFonts w:asciiTheme="majorHAnsi" w:hAnsiTheme="majorHAnsi"/>
        </w:rPr>
      </w:pPr>
      <w:r>
        <w:rPr>
          <w:rFonts w:asciiTheme="majorHAnsi" w:hAnsiTheme="majorHAnsi"/>
        </w:rPr>
        <w:t>W</w:t>
      </w:r>
      <w:r w:rsidR="00A67848">
        <w:rPr>
          <w:rFonts w:asciiTheme="majorHAnsi" w:hAnsiTheme="majorHAnsi"/>
        </w:rPr>
        <w:t>hile acknowledging these benefits we consider that on this occasion the arguments for upholding the exemption and withholding the redacted information outweigh those in favour of disclosure.  In particular, consideration of the following factors has led us to the conclusion that the public interest requires the exemption in section 33 to be upheld because</w:t>
      </w:r>
      <w:r>
        <w:rPr>
          <w:rFonts w:asciiTheme="majorHAnsi" w:hAnsiTheme="majorHAnsi"/>
        </w:rPr>
        <w:t xml:space="preserve"> it</w:t>
      </w:r>
      <w:r w:rsidR="00A67848">
        <w:rPr>
          <w:rFonts w:asciiTheme="majorHAnsi" w:hAnsiTheme="majorHAnsi"/>
        </w:rPr>
        <w:t>:</w:t>
      </w:r>
    </w:p>
    <w:p w:rsidR="00A67848" w:rsidRDefault="00A67848" w:rsidP="00A67848">
      <w:pPr>
        <w:rPr>
          <w:rFonts w:asciiTheme="majorHAnsi" w:hAnsiTheme="majorHAnsi"/>
        </w:rPr>
      </w:pPr>
    </w:p>
    <w:p w:rsidR="00A67848" w:rsidRDefault="00C94E52" w:rsidP="00A67848">
      <w:pPr>
        <w:pStyle w:val="ListParagraph"/>
        <w:numPr>
          <w:ilvl w:val="2"/>
          <w:numId w:val="1"/>
        </w:numPr>
        <w:rPr>
          <w:rFonts w:asciiTheme="majorHAnsi" w:hAnsiTheme="majorHAnsi"/>
        </w:rPr>
      </w:pPr>
      <w:proofErr w:type="gramStart"/>
      <w:r>
        <w:rPr>
          <w:rFonts w:asciiTheme="majorHAnsi" w:hAnsiTheme="majorHAnsi"/>
        </w:rPr>
        <w:t>e</w:t>
      </w:r>
      <w:r w:rsidR="006E52B9">
        <w:rPr>
          <w:rFonts w:asciiTheme="majorHAnsi" w:hAnsiTheme="majorHAnsi"/>
        </w:rPr>
        <w:t>nsur</w:t>
      </w:r>
      <w:r>
        <w:rPr>
          <w:rFonts w:asciiTheme="majorHAnsi" w:hAnsiTheme="majorHAnsi"/>
        </w:rPr>
        <w:t>es</w:t>
      </w:r>
      <w:proofErr w:type="gramEnd"/>
      <w:r w:rsidR="006E52B9">
        <w:rPr>
          <w:rFonts w:asciiTheme="majorHAnsi" w:hAnsiTheme="majorHAnsi"/>
        </w:rPr>
        <w:t xml:space="preserve"> that inspectors can effectively carry out their duties; although inspectors can compel information from the body it inspects, for a fully informed view it also relies on information voluntarily given by lawyers/staff at the coal face</w:t>
      </w:r>
      <w:r>
        <w:rPr>
          <w:rFonts w:asciiTheme="majorHAnsi" w:hAnsiTheme="majorHAnsi"/>
        </w:rPr>
        <w:t xml:space="preserve">.  </w:t>
      </w:r>
      <w:r w:rsidR="006E52B9">
        <w:rPr>
          <w:rFonts w:asciiTheme="majorHAnsi" w:hAnsiTheme="majorHAnsi"/>
        </w:rPr>
        <w:t xml:space="preserve">They make such comments on the understanding that they cannot be traced back to them.  Whilst we use the material in the report we do not provide any information that would tend to identify them or make them feel at risk of identification.  The same argument applies to police officers when we conduct joint inspections with HMICFRS as was the case </w:t>
      </w:r>
      <w:r>
        <w:rPr>
          <w:rFonts w:asciiTheme="majorHAnsi" w:hAnsiTheme="majorHAnsi"/>
        </w:rPr>
        <w:t>in the report on disclosure</w:t>
      </w:r>
      <w:r w:rsidR="006E52B9">
        <w:rPr>
          <w:rFonts w:asciiTheme="majorHAnsi" w:hAnsiTheme="majorHAnsi"/>
        </w:rPr>
        <w:t>.</w:t>
      </w:r>
    </w:p>
    <w:p w:rsidR="00505218" w:rsidRDefault="00505218" w:rsidP="00505218">
      <w:pPr>
        <w:pStyle w:val="ListParagraph"/>
        <w:ind w:left="360"/>
        <w:rPr>
          <w:rFonts w:asciiTheme="majorHAnsi" w:hAnsiTheme="majorHAnsi"/>
        </w:rPr>
      </w:pPr>
    </w:p>
    <w:p w:rsidR="00A17BAC" w:rsidRPr="00505218" w:rsidRDefault="00513C83" w:rsidP="00505218">
      <w:pPr>
        <w:pStyle w:val="ListParagraph"/>
        <w:numPr>
          <w:ilvl w:val="0"/>
          <w:numId w:val="1"/>
        </w:numPr>
        <w:rPr>
          <w:rFonts w:asciiTheme="majorHAnsi" w:hAnsiTheme="majorHAnsi"/>
        </w:rPr>
      </w:pPr>
      <w:r w:rsidRPr="00505218">
        <w:rPr>
          <w:rFonts w:asciiTheme="majorHAnsi" w:hAnsiTheme="majorHAnsi"/>
        </w:rPr>
        <w:t>Section 31(c)</w:t>
      </w:r>
      <w:r w:rsidR="002B7721" w:rsidRPr="00505218">
        <w:rPr>
          <w:rFonts w:asciiTheme="majorHAnsi" w:hAnsiTheme="majorHAnsi"/>
        </w:rPr>
        <w:t xml:space="preserve"> applies where disclosure would prejudice the administration of justice.  </w:t>
      </w:r>
    </w:p>
    <w:p w:rsidR="002B7721" w:rsidRDefault="002B7721" w:rsidP="002B7721">
      <w:pPr>
        <w:pStyle w:val="ListParagraph"/>
        <w:ind w:left="360"/>
        <w:rPr>
          <w:rFonts w:asciiTheme="majorHAnsi" w:hAnsiTheme="majorHAnsi"/>
        </w:rPr>
      </w:pPr>
    </w:p>
    <w:p w:rsidR="002B7721" w:rsidRDefault="002B7721" w:rsidP="002B7721">
      <w:pPr>
        <w:pStyle w:val="ListParagraph"/>
        <w:numPr>
          <w:ilvl w:val="0"/>
          <w:numId w:val="1"/>
        </w:numPr>
        <w:rPr>
          <w:rFonts w:asciiTheme="majorHAnsi" w:hAnsiTheme="majorHAnsi"/>
        </w:rPr>
      </w:pPr>
      <w:r>
        <w:rPr>
          <w:rFonts w:asciiTheme="majorHAnsi" w:hAnsiTheme="majorHAnsi"/>
        </w:rPr>
        <w:t>Section 31 is a ‘qualified exemption’ and requires us to carry out a public interest test to consider whether the balance of interest lies in releasing or withholding the information.  In considering this, we have paid particular regard to the arguments in favour of disclosure, including that disclosure may be of benefit because</w:t>
      </w:r>
      <w:r w:rsidR="0058687E">
        <w:rPr>
          <w:rFonts w:asciiTheme="majorHAnsi" w:hAnsiTheme="majorHAnsi"/>
        </w:rPr>
        <w:t xml:space="preserve"> it</w:t>
      </w:r>
      <w:r>
        <w:rPr>
          <w:rFonts w:asciiTheme="majorHAnsi" w:hAnsiTheme="majorHAnsi"/>
        </w:rPr>
        <w:t>:</w:t>
      </w:r>
    </w:p>
    <w:p w:rsidR="002B7721" w:rsidRPr="00A17BAC" w:rsidRDefault="002B7721" w:rsidP="002B7721">
      <w:pPr>
        <w:pStyle w:val="ListParagraph"/>
        <w:rPr>
          <w:rFonts w:asciiTheme="majorHAnsi" w:hAnsiTheme="majorHAnsi"/>
        </w:rPr>
      </w:pPr>
    </w:p>
    <w:p w:rsidR="002B7721" w:rsidRDefault="002B7721" w:rsidP="002B7721">
      <w:pPr>
        <w:pStyle w:val="ListParagraph"/>
        <w:numPr>
          <w:ilvl w:val="2"/>
          <w:numId w:val="1"/>
        </w:numPr>
        <w:rPr>
          <w:rFonts w:asciiTheme="majorHAnsi" w:hAnsiTheme="majorHAnsi"/>
        </w:rPr>
      </w:pPr>
      <w:r>
        <w:rPr>
          <w:rFonts w:asciiTheme="majorHAnsi" w:hAnsiTheme="majorHAnsi"/>
        </w:rPr>
        <w:t>further</w:t>
      </w:r>
      <w:r w:rsidR="0058687E">
        <w:rPr>
          <w:rFonts w:asciiTheme="majorHAnsi" w:hAnsiTheme="majorHAnsi"/>
        </w:rPr>
        <w:t>s</w:t>
      </w:r>
      <w:r>
        <w:rPr>
          <w:rFonts w:asciiTheme="majorHAnsi" w:hAnsiTheme="majorHAnsi"/>
        </w:rPr>
        <w:t xml:space="preserve"> public understanding of the inspection process;</w:t>
      </w:r>
    </w:p>
    <w:p w:rsidR="002B7721" w:rsidRDefault="002B7721" w:rsidP="002B7721">
      <w:pPr>
        <w:pStyle w:val="ListParagraph"/>
        <w:numPr>
          <w:ilvl w:val="2"/>
          <w:numId w:val="1"/>
        </w:numPr>
        <w:rPr>
          <w:rFonts w:asciiTheme="majorHAnsi" w:hAnsiTheme="majorHAnsi"/>
        </w:rPr>
      </w:pPr>
      <w:proofErr w:type="gramStart"/>
      <w:r>
        <w:rPr>
          <w:rFonts w:asciiTheme="majorHAnsi" w:hAnsiTheme="majorHAnsi"/>
        </w:rPr>
        <w:t>promotes</w:t>
      </w:r>
      <w:proofErr w:type="gramEnd"/>
      <w:r>
        <w:rPr>
          <w:rFonts w:asciiTheme="majorHAnsi" w:hAnsiTheme="majorHAnsi"/>
        </w:rPr>
        <w:t xml:space="preserve"> accountability and transparency in relation to decision making.</w:t>
      </w:r>
    </w:p>
    <w:p w:rsidR="002B7721" w:rsidRDefault="002B7721" w:rsidP="002B7721">
      <w:pPr>
        <w:pStyle w:val="ListParagraph"/>
        <w:ind w:left="1450"/>
        <w:rPr>
          <w:rFonts w:asciiTheme="majorHAnsi" w:hAnsiTheme="majorHAnsi"/>
        </w:rPr>
      </w:pPr>
    </w:p>
    <w:p w:rsidR="002B7721" w:rsidRDefault="002B7721" w:rsidP="00513C83">
      <w:pPr>
        <w:pStyle w:val="ListParagraph"/>
        <w:numPr>
          <w:ilvl w:val="0"/>
          <w:numId w:val="1"/>
        </w:numPr>
        <w:rPr>
          <w:rFonts w:asciiTheme="majorHAnsi" w:hAnsiTheme="majorHAnsi"/>
        </w:rPr>
      </w:pPr>
      <w:r>
        <w:rPr>
          <w:rFonts w:asciiTheme="majorHAnsi" w:hAnsiTheme="majorHAnsi"/>
        </w:rPr>
        <w:t xml:space="preserve">While acknowledging these benefits we consider that on this occasion the arguments for upholding the exemption and withholding the redacted information outweigh those in favour of disclosure.  In particular </w:t>
      </w:r>
      <w:r w:rsidR="0058687E">
        <w:rPr>
          <w:rFonts w:asciiTheme="majorHAnsi" w:hAnsiTheme="majorHAnsi"/>
        </w:rPr>
        <w:t>consideration of the following factors has led us to the conclusion that the public interest requires the exemption in section 31 to be upheld because:</w:t>
      </w:r>
    </w:p>
    <w:p w:rsidR="0058687E" w:rsidRDefault="0058687E" w:rsidP="0058687E">
      <w:pPr>
        <w:pStyle w:val="ListParagraph"/>
        <w:ind w:left="360"/>
        <w:rPr>
          <w:rFonts w:asciiTheme="majorHAnsi" w:hAnsiTheme="majorHAnsi"/>
        </w:rPr>
      </w:pPr>
    </w:p>
    <w:p w:rsidR="0058687E" w:rsidRDefault="00C94E52" w:rsidP="0058687E">
      <w:pPr>
        <w:pStyle w:val="ListParagraph"/>
        <w:numPr>
          <w:ilvl w:val="2"/>
          <w:numId w:val="1"/>
        </w:numPr>
        <w:rPr>
          <w:rFonts w:asciiTheme="majorHAnsi" w:hAnsiTheme="majorHAnsi"/>
        </w:rPr>
      </w:pPr>
      <w:proofErr w:type="gramStart"/>
      <w:r>
        <w:rPr>
          <w:rFonts w:asciiTheme="majorHAnsi" w:hAnsiTheme="majorHAnsi"/>
        </w:rPr>
        <w:t>f</w:t>
      </w:r>
      <w:r w:rsidR="0058687E">
        <w:rPr>
          <w:rFonts w:asciiTheme="majorHAnsi" w:hAnsiTheme="majorHAnsi"/>
        </w:rPr>
        <w:t>or</w:t>
      </w:r>
      <w:proofErr w:type="gramEnd"/>
      <w:r w:rsidR="0058687E">
        <w:rPr>
          <w:rFonts w:asciiTheme="majorHAnsi" w:hAnsiTheme="majorHAnsi"/>
        </w:rPr>
        <w:t xml:space="preserve"> any inspection to be properly informed we rely on judges and lawyers involved in the trial process to be open and frank about their experiences as part of the audit process.  Publication of such comments in a way that can identify a particular judge with a particular case would be likely to prejudice the administration of justice.</w:t>
      </w:r>
    </w:p>
    <w:p w:rsidR="0058687E" w:rsidRDefault="0058687E" w:rsidP="0058687E">
      <w:pPr>
        <w:rPr>
          <w:rFonts w:asciiTheme="majorHAnsi" w:hAnsiTheme="majorHAnsi"/>
        </w:rPr>
      </w:pPr>
    </w:p>
    <w:p w:rsidR="0058687E" w:rsidRPr="0058687E" w:rsidRDefault="00505218" w:rsidP="00C94E52">
      <w:pPr>
        <w:pStyle w:val="ListParagraph"/>
        <w:numPr>
          <w:ilvl w:val="0"/>
          <w:numId w:val="1"/>
        </w:numPr>
        <w:rPr>
          <w:rFonts w:asciiTheme="majorHAnsi" w:hAnsiTheme="majorHAnsi"/>
        </w:rPr>
      </w:pPr>
      <w:r>
        <w:rPr>
          <w:rFonts w:asciiTheme="majorHAnsi" w:hAnsiTheme="majorHAnsi"/>
        </w:rPr>
        <w:t>Full details of the FOI request by the Centre for Criminal Appeals and our response to the request will be published.</w:t>
      </w:r>
    </w:p>
    <w:p w:rsidR="009734A4" w:rsidRPr="009734A4" w:rsidRDefault="009734A4" w:rsidP="009734A4">
      <w:pPr>
        <w:rPr>
          <w:rFonts w:asciiTheme="majorHAnsi" w:hAnsiTheme="majorHAnsi"/>
        </w:rPr>
      </w:pPr>
    </w:p>
    <w:p w:rsidR="00DE7098" w:rsidRPr="00572047" w:rsidRDefault="00DE7098" w:rsidP="00DE7098">
      <w:pPr>
        <w:rPr>
          <w:rFonts w:asciiTheme="majorHAnsi" w:hAnsiTheme="majorHAnsi"/>
          <w:b/>
          <w:sz w:val="22"/>
          <w:szCs w:val="22"/>
        </w:rPr>
      </w:pPr>
      <w:r w:rsidRPr="00572047">
        <w:rPr>
          <w:rFonts w:asciiTheme="majorHAnsi" w:hAnsiTheme="majorHAnsi"/>
          <w:b/>
          <w:sz w:val="22"/>
          <w:szCs w:val="22"/>
        </w:rPr>
        <w:t>Complaints and comments</w:t>
      </w:r>
    </w:p>
    <w:p w:rsidR="00DE7098" w:rsidRPr="00572047" w:rsidRDefault="00DE7098" w:rsidP="00DE7098">
      <w:pPr>
        <w:rPr>
          <w:rFonts w:asciiTheme="majorHAnsi" w:hAnsiTheme="majorHAnsi"/>
          <w:sz w:val="22"/>
          <w:szCs w:val="22"/>
        </w:rPr>
      </w:pPr>
    </w:p>
    <w:p w:rsidR="00F65A8D" w:rsidRDefault="00DE7098" w:rsidP="00F65A8D">
      <w:pPr>
        <w:pStyle w:val="ListParagraph"/>
        <w:numPr>
          <w:ilvl w:val="0"/>
          <w:numId w:val="1"/>
        </w:numPr>
        <w:rPr>
          <w:rFonts w:asciiTheme="majorHAnsi" w:hAnsiTheme="majorHAnsi"/>
        </w:rPr>
      </w:pPr>
      <w:r w:rsidRPr="00572047">
        <w:rPr>
          <w:rFonts w:asciiTheme="majorHAnsi" w:hAnsiTheme="majorHAnsi"/>
        </w:rPr>
        <w:t>I would l</w:t>
      </w:r>
      <w:r w:rsidR="002D3694">
        <w:rPr>
          <w:rFonts w:asciiTheme="majorHAnsi" w:hAnsiTheme="majorHAnsi"/>
        </w:rPr>
        <w:t xml:space="preserve">ike to explain that if you are </w:t>
      </w:r>
      <w:r w:rsidRPr="00572047">
        <w:rPr>
          <w:rFonts w:asciiTheme="majorHAnsi" w:hAnsiTheme="majorHAnsi"/>
        </w:rPr>
        <w:t>dissatisfied with any aspect of our response to your request for information please send full details within two calendar months of the date of this email to:</w:t>
      </w:r>
      <w:r w:rsidR="00F65A8D">
        <w:rPr>
          <w:rFonts w:asciiTheme="majorHAnsi" w:hAnsiTheme="majorHAnsi"/>
        </w:rPr>
        <w:t xml:space="preserve">  </w:t>
      </w:r>
      <w:hyperlink r:id="rId11" w:history="1">
        <w:r w:rsidR="00025602" w:rsidRPr="00A175FC">
          <w:rPr>
            <w:rStyle w:val="Hyperlink"/>
            <w:rFonts w:asciiTheme="majorHAnsi" w:hAnsiTheme="majorHAnsi"/>
          </w:rPr>
          <w:t>info@hmcpsi.gov.uk</w:t>
        </w:r>
      </w:hyperlink>
      <w:r w:rsidR="00025602">
        <w:rPr>
          <w:rFonts w:asciiTheme="majorHAnsi" w:hAnsiTheme="majorHAnsi"/>
        </w:rPr>
        <w:t xml:space="preserve"> marked for the attention of</w:t>
      </w:r>
      <w:bookmarkStart w:id="0" w:name="_GoBack"/>
      <w:bookmarkEnd w:id="0"/>
      <w:r w:rsidR="00025602">
        <w:rPr>
          <w:rFonts w:asciiTheme="majorHAnsi" w:hAnsiTheme="majorHAnsi"/>
        </w:rPr>
        <w:t>.</w:t>
      </w:r>
    </w:p>
    <w:p w:rsidR="00DE7098" w:rsidRPr="00572047" w:rsidRDefault="00DE7098" w:rsidP="00DE7098">
      <w:pPr>
        <w:rPr>
          <w:rFonts w:asciiTheme="majorHAnsi" w:hAnsiTheme="majorHAnsi"/>
          <w:sz w:val="22"/>
          <w:szCs w:val="22"/>
        </w:rPr>
      </w:pPr>
    </w:p>
    <w:p w:rsidR="00DE7098" w:rsidRPr="00572047" w:rsidRDefault="00DE7098" w:rsidP="00DE7098">
      <w:pPr>
        <w:pStyle w:val="ListParagraph"/>
        <w:numPr>
          <w:ilvl w:val="0"/>
          <w:numId w:val="1"/>
        </w:numPr>
        <w:rPr>
          <w:rFonts w:asciiTheme="majorHAnsi" w:hAnsiTheme="majorHAnsi"/>
        </w:rPr>
      </w:pPr>
      <w:r w:rsidRPr="00572047">
        <w:rPr>
          <w:rFonts w:asciiTheme="majorHAnsi" w:hAnsiTheme="majorHAnsi"/>
        </w:rPr>
        <w:t>You have the right to ask the Information Commissioner (ICO) to investigate any aspect of your complaint. Please note that the ICO is likely to expect internal complaints procedures to have been exhausted before beginning an investigation.</w:t>
      </w:r>
    </w:p>
    <w:p w:rsidR="00291F6A" w:rsidRPr="00572047" w:rsidRDefault="00291F6A" w:rsidP="00291F6A">
      <w:pPr>
        <w:rPr>
          <w:rFonts w:asciiTheme="majorHAnsi" w:hAnsiTheme="majorHAnsi"/>
          <w:sz w:val="22"/>
          <w:szCs w:val="22"/>
        </w:rPr>
      </w:pPr>
    </w:p>
    <w:p w:rsidR="00AE61C7" w:rsidRPr="00572047" w:rsidRDefault="00AE61C7">
      <w:pPr>
        <w:rPr>
          <w:rFonts w:asciiTheme="majorHAnsi" w:hAnsiTheme="majorHAnsi"/>
          <w:sz w:val="22"/>
          <w:szCs w:val="22"/>
        </w:rPr>
      </w:pPr>
    </w:p>
    <w:sectPr w:rsidR="00AE61C7" w:rsidRPr="0057204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FF" w:rsidRDefault="00814BFF">
      <w:r>
        <w:separator/>
      </w:r>
    </w:p>
  </w:endnote>
  <w:endnote w:type="continuationSeparator" w:id="0">
    <w:p w:rsidR="00814BFF" w:rsidRDefault="0081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FF" w:rsidRDefault="00814BFF">
      <w:r>
        <w:separator/>
      </w:r>
    </w:p>
  </w:footnote>
  <w:footnote w:type="continuationSeparator" w:id="0">
    <w:p w:rsidR="00814BFF" w:rsidRDefault="00814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3FE"/>
    <w:multiLevelType w:val="hybridMultilevel"/>
    <w:tmpl w:val="317E044E"/>
    <w:lvl w:ilvl="0" w:tplc="08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254524C"/>
    <w:multiLevelType w:val="hybridMultilevel"/>
    <w:tmpl w:val="DFA65F2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23301B31"/>
    <w:multiLevelType w:val="hybridMultilevel"/>
    <w:tmpl w:val="7EB0B9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416C7C62"/>
    <w:multiLevelType w:val="hybridMultilevel"/>
    <w:tmpl w:val="3894127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0" w:hanging="360"/>
      </w:pPr>
    </w:lvl>
    <w:lvl w:ilvl="2" w:tplc="08090001">
      <w:start w:val="1"/>
      <w:numFmt w:val="bullet"/>
      <w:lvlText w:val=""/>
      <w:lvlJc w:val="left"/>
      <w:pPr>
        <w:ind w:left="1450" w:hanging="180"/>
      </w:pPr>
      <w:rPr>
        <w:rFonts w:ascii="Symbol" w:hAnsi="Symbol" w:hint="default"/>
      </w:rPr>
    </w:lvl>
    <w:lvl w:ilvl="3" w:tplc="0809000F" w:tentative="1">
      <w:start w:val="1"/>
      <w:numFmt w:val="decimal"/>
      <w:lvlText w:val="%4."/>
      <w:lvlJc w:val="left"/>
      <w:pPr>
        <w:ind w:left="2170" w:hanging="360"/>
      </w:pPr>
    </w:lvl>
    <w:lvl w:ilvl="4" w:tplc="08090019" w:tentative="1">
      <w:start w:val="1"/>
      <w:numFmt w:val="lowerLetter"/>
      <w:lvlText w:val="%5."/>
      <w:lvlJc w:val="left"/>
      <w:pPr>
        <w:ind w:left="2890" w:hanging="360"/>
      </w:pPr>
    </w:lvl>
    <w:lvl w:ilvl="5" w:tplc="0809001B" w:tentative="1">
      <w:start w:val="1"/>
      <w:numFmt w:val="lowerRoman"/>
      <w:lvlText w:val="%6."/>
      <w:lvlJc w:val="right"/>
      <w:pPr>
        <w:ind w:left="3610" w:hanging="180"/>
      </w:pPr>
    </w:lvl>
    <w:lvl w:ilvl="6" w:tplc="0809000F" w:tentative="1">
      <w:start w:val="1"/>
      <w:numFmt w:val="decimal"/>
      <w:lvlText w:val="%7."/>
      <w:lvlJc w:val="left"/>
      <w:pPr>
        <w:ind w:left="4330" w:hanging="360"/>
      </w:pPr>
    </w:lvl>
    <w:lvl w:ilvl="7" w:tplc="08090019" w:tentative="1">
      <w:start w:val="1"/>
      <w:numFmt w:val="lowerLetter"/>
      <w:lvlText w:val="%8."/>
      <w:lvlJc w:val="left"/>
      <w:pPr>
        <w:ind w:left="5050" w:hanging="360"/>
      </w:pPr>
    </w:lvl>
    <w:lvl w:ilvl="8" w:tplc="0809001B" w:tentative="1">
      <w:start w:val="1"/>
      <w:numFmt w:val="lowerRoman"/>
      <w:lvlText w:val="%9."/>
      <w:lvlJc w:val="right"/>
      <w:pPr>
        <w:ind w:left="5770" w:hanging="180"/>
      </w:pPr>
    </w:lvl>
  </w:abstractNum>
  <w:abstractNum w:abstractNumId="4">
    <w:nsid w:val="4C8E345C"/>
    <w:multiLevelType w:val="hybridMultilevel"/>
    <w:tmpl w:val="C6A8A0FC"/>
    <w:lvl w:ilvl="0" w:tplc="08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02947EB"/>
    <w:multiLevelType w:val="hybridMultilevel"/>
    <w:tmpl w:val="8F704628"/>
    <w:lvl w:ilvl="0" w:tplc="08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49324DF"/>
    <w:multiLevelType w:val="hybridMultilevel"/>
    <w:tmpl w:val="8294E7F8"/>
    <w:lvl w:ilvl="0" w:tplc="E176241A">
      <w:start w:val="1"/>
      <w:numFmt w:val="decimal"/>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7">
    <w:nsid w:val="715F1C5A"/>
    <w:multiLevelType w:val="hybridMultilevel"/>
    <w:tmpl w:val="F4A643C4"/>
    <w:lvl w:ilvl="0" w:tplc="0809000F">
      <w:start w:val="1"/>
      <w:numFmt w:val="decimal"/>
      <w:lvlText w:val="%1."/>
      <w:lvlJc w:val="left"/>
      <w:pPr>
        <w:ind w:left="360" w:hanging="360"/>
      </w:pPr>
    </w:lvl>
    <w:lvl w:ilvl="1" w:tplc="08090019">
      <w:start w:val="1"/>
      <w:numFmt w:val="lowerLetter"/>
      <w:lvlText w:val="%2."/>
      <w:lvlJc w:val="left"/>
      <w:pPr>
        <w:ind w:left="730" w:hanging="360"/>
      </w:pPr>
    </w:lvl>
    <w:lvl w:ilvl="2" w:tplc="08090001">
      <w:start w:val="1"/>
      <w:numFmt w:val="bullet"/>
      <w:lvlText w:val=""/>
      <w:lvlJc w:val="left"/>
      <w:pPr>
        <w:ind w:left="1450" w:hanging="180"/>
      </w:pPr>
      <w:rPr>
        <w:rFonts w:ascii="Symbol" w:hAnsi="Symbol" w:hint="default"/>
      </w:rPr>
    </w:lvl>
    <w:lvl w:ilvl="3" w:tplc="0809000F" w:tentative="1">
      <w:start w:val="1"/>
      <w:numFmt w:val="decimal"/>
      <w:lvlText w:val="%4."/>
      <w:lvlJc w:val="left"/>
      <w:pPr>
        <w:ind w:left="2170" w:hanging="360"/>
      </w:pPr>
    </w:lvl>
    <w:lvl w:ilvl="4" w:tplc="08090019" w:tentative="1">
      <w:start w:val="1"/>
      <w:numFmt w:val="lowerLetter"/>
      <w:lvlText w:val="%5."/>
      <w:lvlJc w:val="left"/>
      <w:pPr>
        <w:ind w:left="2890" w:hanging="360"/>
      </w:pPr>
    </w:lvl>
    <w:lvl w:ilvl="5" w:tplc="0809001B" w:tentative="1">
      <w:start w:val="1"/>
      <w:numFmt w:val="lowerRoman"/>
      <w:lvlText w:val="%6."/>
      <w:lvlJc w:val="right"/>
      <w:pPr>
        <w:ind w:left="3610" w:hanging="180"/>
      </w:pPr>
    </w:lvl>
    <w:lvl w:ilvl="6" w:tplc="0809000F" w:tentative="1">
      <w:start w:val="1"/>
      <w:numFmt w:val="decimal"/>
      <w:lvlText w:val="%7."/>
      <w:lvlJc w:val="left"/>
      <w:pPr>
        <w:ind w:left="4330" w:hanging="360"/>
      </w:pPr>
    </w:lvl>
    <w:lvl w:ilvl="7" w:tplc="08090019" w:tentative="1">
      <w:start w:val="1"/>
      <w:numFmt w:val="lowerLetter"/>
      <w:lvlText w:val="%8."/>
      <w:lvlJc w:val="left"/>
      <w:pPr>
        <w:ind w:left="5050" w:hanging="360"/>
      </w:pPr>
    </w:lvl>
    <w:lvl w:ilvl="8" w:tplc="0809001B" w:tentative="1">
      <w:start w:val="1"/>
      <w:numFmt w:val="lowerRoman"/>
      <w:lvlText w:val="%9."/>
      <w:lvlJc w:val="right"/>
      <w:pPr>
        <w:ind w:left="5770" w:hanging="180"/>
      </w:pPr>
    </w:lvl>
  </w:abstractNum>
  <w:abstractNum w:abstractNumId="8">
    <w:nsid w:val="71761558"/>
    <w:multiLevelType w:val="hybridMultilevel"/>
    <w:tmpl w:val="07CA38F2"/>
    <w:lvl w:ilvl="0" w:tplc="08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B943A56"/>
    <w:multiLevelType w:val="hybridMultilevel"/>
    <w:tmpl w:val="5D04FAB4"/>
    <w:lvl w:ilvl="0" w:tplc="08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6"/>
  </w:num>
  <w:num w:numId="3">
    <w:abstractNumId w:val="1"/>
  </w:num>
  <w:num w:numId="4">
    <w:abstractNumId w:val="2"/>
  </w:num>
  <w:num w:numId="5">
    <w:abstractNumId w:val="0"/>
  </w:num>
  <w:num w:numId="6">
    <w:abstractNumId w:val="8"/>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C7"/>
    <w:rsid w:val="00025602"/>
    <w:rsid w:val="00073255"/>
    <w:rsid w:val="0008232A"/>
    <w:rsid w:val="000F5839"/>
    <w:rsid w:val="00173E23"/>
    <w:rsid w:val="00176B67"/>
    <w:rsid w:val="00197E96"/>
    <w:rsid w:val="00203F67"/>
    <w:rsid w:val="0022113F"/>
    <w:rsid w:val="002873B5"/>
    <w:rsid w:val="00291F6A"/>
    <w:rsid w:val="002A313B"/>
    <w:rsid w:val="002B7721"/>
    <w:rsid w:val="002D3694"/>
    <w:rsid w:val="00316FCA"/>
    <w:rsid w:val="003339D2"/>
    <w:rsid w:val="0035396A"/>
    <w:rsid w:val="003C649C"/>
    <w:rsid w:val="003F6115"/>
    <w:rsid w:val="00447ADF"/>
    <w:rsid w:val="00450BCE"/>
    <w:rsid w:val="00481C7C"/>
    <w:rsid w:val="0048573A"/>
    <w:rsid w:val="00492C4F"/>
    <w:rsid w:val="004B1D7E"/>
    <w:rsid w:val="005024E4"/>
    <w:rsid w:val="00505218"/>
    <w:rsid w:val="00513C83"/>
    <w:rsid w:val="00521A5C"/>
    <w:rsid w:val="0056481C"/>
    <w:rsid w:val="00572047"/>
    <w:rsid w:val="0058687E"/>
    <w:rsid w:val="005A2C5E"/>
    <w:rsid w:val="005F1638"/>
    <w:rsid w:val="00660BD9"/>
    <w:rsid w:val="00666F0D"/>
    <w:rsid w:val="00674B5C"/>
    <w:rsid w:val="00697197"/>
    <w:rsid w:val="006B4F40"/>
    <w:rsid w:val="006C0312"/>
    <w:rsid w:val="006E52B9"/>
    <w:rsid w:val="0070495F"/>
    <w:rsid w:val="007137DD"/>
    <w:rsid w:val="0074063D"/>
    <w:rsid w:val="00756024"/>
    <w:rsid w:val="007632AE"/>
    <w:rsid w:val="00777A7F"/>
    <w:rsid w:val="00794AA6"/>
    <w:rsid w:val="007A5CFD"/>
    <w:rsid w:val="007E4E83"/>
    <w:rsid w:val="007F3E01"/>
    <w:rsid w:val="008124AE"/>
    <w:rsid w:val="00814BFF"/>
    <w:rsid w:val="00820F5B"/>
    <w:rsid w:val="008409E4"/>
    <w:rsid w:val="00883CA9"/>
    <w:rsid w:val="00941A26"/>
    <w:rsid w:val="009529CA"/>
    <w:rsid w:val="009734A4"/>
    <w:rsid w:val="00976394"/>
    <w:rsid w:val="00983F13"/>
    <w:rsid w:val="00985097"/>
    <w:rsid w:val="009860E4"/>
    <w:rsid w:val="00986B4D"/>
    <w:rsid w:val="009C188B"/>
    <w:rsid w:val="009C4403"/>
    <w:rsid w:val="009F3A2D"/>
    <w:rsid w:val="00A0289B"/>
    <w:rsid w:val="00A17BAC"/>
    <w:rsid w:val="00A365D8"/>
    <w:rsid w:val="00A369F0"/>
    <w:rsid w:val="00A530F0"/>
    <w:rsid w:val="00A57525"/>
    <w:rsid w:val="00A67848"/>
    <w:rsid w:val="00A70F04"/>
    <w:rsid w:val="00A85A38"/>
    <w:rsid w:val="00AB6801"/>
    <w:rsid w:val="00AD25C5"/>
    <w:rsid w:val="00AE61C7"/>
    <w:rsid w:val="00AF630C"/>
    <w:rsid w:val="00B00016"/>
    <w:rsid w:val="00B0527E"/>
    <w:rsid w:val="00B1288A"/>
    <w:rsid w:val="00B235F1"/>
    <w:rsid w:val="00B51DA5"/>
    <w:rsid w:val="00B87A28"/>
    <w:rsid w:val="00B94EF8"/>
    <w:rsid w:val="00BD0DB7"/>
    <w:rsid w:val="00BF351F"/>
    <w:rsid w:val="00C06553"/>
    <w:rsid w:val="00C12ECC"/>
    <w:rsid w:val="00C208CB"/>
    <w:rsid w:val="00C550C5"/>
    <w:rsid w:val="00C732D3"/>
    <w:rsid w:val="00C92155"/>
    <w:rsid w:val="00C94E52"/>
    <w:rsid w:val="00CA712B"/>
    <w:rsid w:val="00CE058C"/>
    <w:rsid w:val="00CE0FDF"/>
    <w:rsid w:val="00D27B21"/>
    <w:rsid w:val="00D337F0"/>
    <w:rsid w:val="00D45B7D"/>
    <w:rsid w:val="00D706D5"/>
    <w:rsid w:val="00D85388"/>
    <w:rsid w:val="00DC3C72"/>
    <w:rsid w:val="00DE525B"/>
    <w:rsid w:val="00DE7098"/>
    <w:rsid w:val="00E15642"/>
    <w:rsid w:val="00E627F8"/>
    <w:rsid w:val="00E95E81"/>
    <w:rsid w:val="00EF4EA8"/>
    <w:rsid w:val="00F23AD3"/>
    <w:rsid w:val="00F57C25"/>
    <w:rsid w:val="00F65A8D"/>
    <w:rsid w:val="00F80868"/>
    <w:rsid w:val="00F97A9D"/>
    <w:rsid w:val="00FA22AC"/>
    <w:rsid w:val="00FB4900"/>
    <w:rsid w:val="00FD2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1C7"/>
    <w:pPr>
      <w:tabs>
        <w:tab w:val="center" w:pos="4153"/>
        <w:tab w:val="right" w:pos="8306"/>
      </w:tabs>
    </w:pPr>
    <w:rPr>
      <w:rFonts w:ascii="Times New Roman" w:hAnsi="Times New Roman" w:cs="Times New Roman"/>
      <w:lang w:eastAsia="en-US"/>
    </w:rPr>
  </w:style>
  <w:style w:type="paragraph" w:styleId="Footer">
    <w:name w:val="footer"/>
    <w:basedOn w:val="Normal"/>
    <w:rsid w:val="00D27B21"/>
    <w:pPr>
      <w:tabs>
        <w:tab w:val="center" w:pos="4153"/>
        <w:tab w:val="right" w:pos="8306"/>
      </w:tabs>
    </w:pPr>
  </w:style>
  <w:style w:type="character" w:styleId="Hyperlink">
    <w:name w:val="Hyperlink"/>
    <w:rsid w:val="00B87A28"/>
    <w:rPr>
      <w:color w:val="0000FF"/>
      <w:u w:val="single"/>
    </w:rPr>
  </w:style>
  <w:style w:type="character" w:styleId="FollowedHyperlink">
    <w:name w:val="FollowedHyperlink"/>
    <w:rsid w:val="00CA712B"/>
    <w:rPr>
      <w:color w:val="606420"/>
      <w:u w:val="single"/>
    </w:rPr>
  </w:style>
  <w:style w:type="paragraph" w:styleId="BalloonText">
    <w:name w:val="Balloon Text"/>
    <w:basedOn w:val="Normal"/>
    <w:link w:val="BalloonTextChar"/>
    <w:rsid w:val="005A2C5E"/>
    <w:rPr>
      <w:rFonts w:ascii="Tahoma" w:hAnsi="Tahoma" w:cs="Tahoma"/>
      <w:sz w:val="16"/>
      <w:szCs w:val="16"/>
    </w:rPr>
  </w:style>
  <w:style w:type="character" w:customStyle="1" w:styleId="BalloonTextChar">
    <w:name w:val="Balloon Text Char"/>
    <w:basedOn w:val="DefaultParagraphFont"/>
    <w:link w:val="BalloonText"/>
    <w:rsid w:val="005A2C5E"/>
    <w:rPr>
      <w:rFonts w:ascii="Tahoma" w:hAnsi="Tahoma" w:cs="Tahoma"/>
      <w:sz w:val="16"/>
      <w:szCs w:val="16"/>
      <w:lang w:eastAsia="en-GB"/>
    </w:rPr>
  </w:style>
  <w:style w:type="paragraph" w:styleId="ListParagraph">
    <w:name w:val="List Paragraph"/>
    <w:basedOn w:val="Normal"/>
    <w:uiPriority w:val="34"/>
    <w:qFormat/>
    <w:rsid w:val="00DE7098"/>
    <w:pPr>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1C7"/>
    <w:pPr>
      <w:tabs>
        <w:tab w:val="center" w:pos="4153"/>
        <w:tab w:val="right" w:pos="8306"/>
      </w:tabs>
    </w:pPr>
    <w:rPr>
      <w:rFonts w:ascii="Times New Roman" w:hAnsi="Times New Roman" w:cs="Times New Roman"/>
      <w:lang w:eastAsia="en-US"/>
    </w:rPr>
  </w:style>
  <w:style w:type="paragraph" w:styleId="Footer">
    <w:name w:val="footer"/>
    <w:basedOn w:val="Normal"/>
    <w:rsid w:val="00D27B21"/>
    <w:pPr>
      <w:tabs>
        <w:tab w:val="center" w:pos="4153"/>
        <w:tab w:val="right" w:pos="8306"/>
      </w:tabs>
    </w:pPr>
  </w:style>
  <w:style w:type="character" w:styleId="Hyperlink">
    <w:name w:val="Hyperlink"/>
    <w:rsid w:val="00B87A28"/>
    <w:rPr>
      <w:color w:val="0000FF"/>
      <w:u w:val="single"/>
    </w:rPr>
  </w:style>
  <w:style w:type="character" w:styleId="FollowedHyperlink">
    <w:name w:val="FollowedHyperlink"/>
    <w:rsid w:val="00CA712B"/>
    <w:rPr>
      <w:color w:val="606420"/>
      <w:u w:val="single"/>
    </w:rPr>
  </w:style>
  <w:style w:type="paragraph" w:styleId="BalloonText">
    <w:name w:val="Balloon Text"/>
    <w:basedOn w:val="Normal"/>
    <w:link w:val="BalloonTextChar"/>
    <w:rsid w:val="005A2C5E"/>
    <w:rPr>
      <w:rFonts w:ascii="Tahoma" w:hAnsi="Tahoma" w:cs="Tahoma"/>
      <w:sz w:val="16"/>
      <w:szCs w:val="16"/>
    </w:rPr>
  </w:style>
  <w:style w:type="character" w:customStyle="1" w:styleId="BalloonTextChar">
    <w:name w:val="Balloon Text Char"/>
    <w:basedOn w:val="DefaultParagraphFont"/>
    <w:link w:val="BalloonText"/>
    <w:rsid w:val="005A2C5E"/>
    <w:rPr>
      <w:rFonts w:ascii="Tahoma" w:hAnsi="Tahoma" w:cs="Tahoma"/>
      <w:sz w:val="16"/>
      <w:szCs w:val="16"/>
      <w:lang w:eastAsia="en-GB"/>
    </w:rPr>
  </w:style>
  <w:style w:type="paragraph" w:styleId="ListParagraph">
    <w:name w:val="List Paragraph"/>
    <w:basedOn w:val="Normal"/>
    <w:uiPriority w:val="34"/>
    <w:qFormat/>
    <w:rsid w:val="00DE7098"/>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47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hmcpsi.gov.uk" TargetMode="External"/><Relationship Id="rId5" Type="http://schemas.openxmlformats.org/officeDocument/2006/relationships/settings" Target="settings.xml"/><Relationship Id="rId10" Type="http://schemas.openxmlformats.org/officeDocument/2006/relationships/hyperlink" Target="http://www.justiceinspectorates.gov.uk/hmcps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B81B5-1721-409E-9E89-21788B8B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5975</CharactersWithSpaces>
  <SharedDoc>false</SharedDoc>
  <HLinks>
    <vt:vector size="12" baseType="variant">
      <vt:variant>
        <vt:i4>8061043</vt:i4>
      </vt:variant>
      <vt:variant>
        <vt:i4>0</vt:i4>
      </vt:variant>
      <vt:variant>
        <vt:i4>0</vt:i4>
      </vt:variant>
      <vt:variant>
        <vt:i4>5</vt:i4>
      </vt:variant>
      <vt:variant>
        <vt:lpwstr>http://www.justiceinspectorates.gov.uk/hmcpsi/</vt:lpwstr>
      </vt:variant>
      <vt:variant>
        <vt:lpwstr/>
      </vt:variant>
      <vt:variant>
        <vt:i4>2949192</vt:i4>
      </vt:variant>
      <vt:variant>
        <vt:i4>0</vt:i4>
      </vt:variant>
      <vt:variant>
        <vt:i4>0</vt:i4>
      </vt:variant>
      <vt:variant>
        <vt:i4>5</vt:i4>
      </vt:variant>
      <vt:variant>
        <vt:lpwstr>mailto:Kevin.mcginty@hmcpsi.gsi.gov.uk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LA12</cp:lastModifiedBy>
  <cp:revision>11</cp:revision>
  <cp:lastPrinted>2018-06-06T13:28:00Z</cp:lastPrinted>
  <dcterms:created xsi:type="dcterms:W3CDTF">2018-06-04T20:33:00Z</dcterms:created>
  <dcterms:modified xsi:type="dcterms:W3CDTF">2018-07-09T13:40:00Z</dcterms:modified>
</cp:coreProperties>
</file>